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EE" w:rsidRPr="007C0543" w:rsidRDefault="007B7EEE" w:rsidP="007B7EEE">
      <w:pPr>
        <w:spacing w:after="0"/>
        <w:jc w:val="center"/>
        <w:rPr>
          <w:rStyle w:val="s0"/>
          <w:b/>
          <w:sz w:val="22"/>
          <w:szCs w:val="22"/>
        </w:rPr>
      </w:pPr>
      <w:r w:rsidRPr="007C0543">
        <w:rPr>
          <w:rStyle w:val="s0"/>
          <w:b/>
          <w:sz w:val="22"/>
          <w:szCs w:val="22"/>
        </w:rPr>
        <w:t xml:space="preserve">Ежегодный отчет  </w:t>
      </w:r>
    </w:p>
    <w:p w:rsidR="007B7EEE" w:rsidRDefault="007B7EEE" w:rsidP="007B7EEE">
      <w:pPr>
        <w:spacing w:after="0"/>
        <w:jc w:val="center"/>
        <w:rPr>
          <w:rStyle w:val="s0"/>
          <w:b/>
          <w:sz w:val="22"/>
          <w:szCs w:val="22"/>
        </w:rPr>
      </w:pPr>
      <w:r w:rsidRPr="007C0543">
        <w:rPr>
          <w:rStyle w:val="s0"/>
          <w:b/>
          <w:sz w:val="22"/>
          <w:szCs w:val="22"/>
        </w:rPr>
        <w:t xml:space="preserve">о деятельности по предоставлению </w:t>
      </w:r>
      <w:r w:rsidRPr="007C0543">
        <w:rPr>
          <w:rFonts w:ascii="Times New Roman" w:hAnsi="Times New Roman" w:cs="Times New Roman"/>
          <w:b/>
        </w:rPr>
        <w:t>услуг по передаче и распределению электрической энергии за 20</w:t>
      </w:r>
      <w:r w:rsidRPr="007C0543">
        <w:rPr>
          <w:rStyle w:val="s0"/>
          <w:b/>
          <w:sz w:val="22"/>
          <w:szCs w:val="22"/>
        </w:rPr>
        <w:t>1</w:t>
      </w:r>
      <w:r w:rsidR="003B08EC">
        <w:rPr>
          <w:rStyle w:val="s0"/>
          <w:b/>
          <w:sz w:val="22"/>
          <w:szCs w:val="22"/>
        </w:rPr>
        <w:t>8</w:t>
      </w:r>
      <w:r w:rsidRPr="007C0543">
        <w:rPr>
          <w:rStyle w:val="s0"/>
          <w:b/>
          <w:sz w:val="22"/>
          <w:szCs w:val="22"/>
        </w:rPr>
        <w:t xml:space="preserve">г. </w:t>
      </w:r>
    </w:p>
    <w:p w:rsidR="00D86983" w:rsidRPr="007C0543" w:rsidRDefault="00D86983" w:rsidP="007B7EEE">
      <w:pPr>
        <w:spacing w:after="0"/>
        <w:jc w:val="center"/>
        <w:rPr>
          <w:rStyle w:val="s0"/>
          <w:b/>
          <w:sz w:val="22"/>
          <w:szCs w:val="22"/>
        </w:rPr>
      </w:pPr>
    </w:p>
    <w:p w:rsidR="00665D50" w:rsidRPr="00240806" w:rsidRDefault="00665D50" w:rsidP="00665D50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33280">
        <w:rPr>
          <w:rFonts w:ascii="Times New Roman" w:hAnsi="Times New Roman" w:cs="Times New Roman"/>
          <w:b/>
        </w:rPr>
        <w:t>Исполнение инвестиционной программы 201</w:t>
      </w:r>
      <w:r w:rsidR="003B08EC">
        <w:rPr>
          <w:rFonts w:ascii="Times New Roman" w:hAnsi="Times New Roman" w:cs="Times New Roman"/>
          <w:b/>
        </w:rPr>
        <w:t>8</w:t>
      </w:r>
      <w:r w:rsidRPr="00433280">
        <w:rPr>
          <w:rFonts w:ascii="Times New Roman" w:hAnsi="Times New Roman" w:cs="Times New Roman"/>
          <w:b/>
        </w:rPr>
        <w:t>г. утвержденной ведомством уполномоченного органа</w:t>
      </w:r>
    </w:p>
    <w:tbl>
      <w:tblPr>
        <w:tblW w:w="15877" w:type="dxa"/>
        <w:tblInd w:w="-8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5"/>
        <w:gridCol w:w="1417"/>
        <w:gridCol w:w="1276"/>
        <w:gridCol w:w="1417"/>
        <w:gridCol w:w="8222"/>
      </w:tblGrid>
      <w:tr w:rsidR="00D86983" w:rsidRPr="00647C97" w:rsidTr="00424F10">
        <w:trPr>
          <w:trHeight w:val="227"/>
        </w:trPr>
        <w:tc>
          <w:tcPr>
            <w:tcW w:w="3545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мероприятий 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8222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vAlign w:val="center"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5D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</w:t>
            </w: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Реконструкция распределительных электрических сетей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6 575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6 604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Строительство, Реконструкция ЛЭП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1 761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1 368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55413A" w:rsidRDefault="00D86983" w:rsidP="0042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413A">
              <w:rPr>
                <w:rFonts w:ascii="Times New Roman" w:hAnsi="Times New Roman" w:cs="Times New Roman"/>
                <w:sz w:val="16"/>
                <w:szCs w:val="16"/>
              </w:rPr>
              <w:t>78%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98177B" w:rsidRDefault="00D86983" w:rsidP="00424F1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В процессе производства работ подрядной организацией сорван календарный план в части строительных и монтажных работ при выполнении работ по переводу нагрузки ПС-220/110/10кВ №131А «Горный Гигант» на ПС-220/110/10кВ №160А «</w:t>
            </w:r>
            <w:proofErr w:type="spellStart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Ерменсай</w:t>
            </w:r>
            <w:proofErr w:type="spellEnd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» по сетям 110кВ с последующим демонтажем ПС-131А за счет средств ФНБ «</w:t>
            </w:r>
            <w:proofErr w:type="spellStart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Самру</w:t>
            </w:r>
            <w:proofErr w:type="gramStart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к-</w:t>
            </w:r>
            <w:proofErr w:type="gramEnd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Қазына</w:t>
            </w:r>
            <w:proofErr w:type="spellEnd"/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».</w:t>
            </w: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Строительство, Реконструкция ПС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98177B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Внедрение SCADA, АСКУЭ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2 674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2 673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98177B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4818FF" w:rsidRPr="00647C97" w:rsidTr="00424F10">
        <w:trPr>
          <w:trHeight w:val="448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4818FF" w:rsidRPr="00E61B1C" w:rsidRDefault="004818FF" w:rsidP="00E61B1C">
            <w:pPr>
              <w:jc w:val="center"/>
              <w:rPr>
                <w:bCs/>
                <w:i/>
                <w:sz w:val="16"/>
                <w:szCs w:val="16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Прочие затраты на ремонт производственных активов и прочих основных средств, непосредственно участвующих в процессе производственной деятельности</w:t>
            </w:r>
            <w:r w:rsidR="00E61B1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, </w:t>
            </w:r>
            <w:r w:rsidR="00E61B1C" w:rsidRPr="00E61B1C">
              <w:rPr>
                <w:rFonts w:eastAsia="Times New Roman"/>
                <w:bCs/>
                <w:i/>
                <w:iCs/>
                <w:sz w:val="16"/>
                <w:szCs w:val="16"/>
              </w:rPr>
              <w:t>приобретение ОС и НМА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8FF" w:rsidRPr="004818FF" w:rsidRDefault="004818FF" w:rsidP="0048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818F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8FF" w:rsidRPr="004818FF" w:rsidRDefault="004818FF" w:rsidP="0048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818F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1094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18FF" w:rsidRPr="004818FF" w:rsidRDefault="004818FF" w:rsidP="0048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4818FF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162%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vAlign w:val="center"/>
          </w:tcPr>
          <w:p w:rsidR="004818FF" w:rsidRPr="0098177B" w:rsidRDefault="004818FF" w:rsidP="0048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Уменьшение суммы договор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ов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П</w:t>
            </w:r>
            <w:proofErr w:type="gramEnd"/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рочие затраты на ремонт производственных активов и прочих основных средств</w:t>
            </w:r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неосвоенная сумма является экономией.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Вместе с тем, у</w:t>
            </w:r>
            <w:r w:rsidRPr="0098177B">
              <w:rPr>
                <w:rFonts w:ascii="Times New Roman" w:hAnsi="Times New Roman" w:cs="Times New Roman"/>
                <w:i/>
                <w:sz w:val="16"/>
                <w:szCs w:val="16"/>
              </w:rPr>
              <w:t>величение фактического показателя от планового по приобретению основных средств связано с приобретением основных средств за счет экономии по статье «Технические потери» и «Ремонт», в соответствии с пунктом 4-1) статьи 7 и пунктом 5-2)  статьи 6 Закона РК «О естественных монополиях».</w:t>
            </w:r>
            <w:proofErr w:type="gramEnd"/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9B3E93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B3E9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11 705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11 759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98177B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Капитальный ремонт электрических сетей и оборудования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861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841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7374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07374C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98%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</w:tcPr>
          <w:p w:rsidR="00D86983" w:rsidRPr="0098177B" w:rsidRDefault="00D86983" w:rsidP="00424F10">
            <w:pPr>
              <w:tabs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86983" w:rsidRPr="00647C97" w:rsidTr="00424F10">
        <w:trPr>
          <w:trHeight w:val="316"/>
        </w:trPr>
        <w:tc>
          <w:tcPr>
            <w:tcW w:w="3545" w:type="dxa"/>
            <w:tcBorders>
              <w:top w:val="single" w:sz="4" w:space="0" w:color="003300"/>
              <w:left w:val="single" w:sz="8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12 566</w:t>
            </w:r>
          </w:p>
        </w:tc>
        <w:tc>
          <w:tcPr>
            <w:tcW w:w="1276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12 599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410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8222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8" w:space="0" w:color="003300"/>
            </w:tcBorders>
          </w:tcPr>
          <w:p w:rsidR="00D86983" w:rsidRPr="000410F5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D86983" w:rsidRDefault="00D86983" w:rsidP="00D8698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86983" w:rsidRPr="00665D50" w:rsidRDefault="00D86983" w:rsidP="00D8698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665D50">
        <w:rPr>
          <w:rFonts w:ascii="Times New Roman" w:hAnsi="Times New Roman" w:cs="Times New Roman"/>
          <w:b/>
          <w:sz w:val="16"/>
          <w:szCs w:val="16"/>
          <w:u w:val="single"/>
        </w:rPr>
        <w:t>Эффект от реализации ИП: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proofErr w:type="gram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За период с 2009 года по 2018 год, завершено строительство и введены в эксплуатацию четыре подстанции для электроснабжения объектов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Азиады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–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Медеу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Шымбулак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КазГУ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»; пять подстанций для электроснабжения объектов Метрополитена –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Отрар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«Алатау», ПС №16 «Новая», ПС «Топливная»,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Бесагаш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 с ЛЭП 220кВ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–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Бесагаш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– АТЭЦ», тем самым замкнуто кольцо 220кВ вокруг города Алматы;</w:t>
      </w:r>
      <w:proofErr w:type="gram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пять подстанций для электроснабжения объектов  ЖКХ ПС «Алтай»,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Мамыр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Есентай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Жас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канат».  Общий прирост мощности составил 1 852  МВА.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Выполнена реконструкция ПС-110кВ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Арман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, Центральная,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Самал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,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Сайран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,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Новозападная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, Южная,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Геологострой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, Топливная, Талгар при этом прирост мощности составил 307 МВА.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связи со сложившейся чрезвычайной ситуацией на ПС «Горный Гигант», по причине обвала грунта и высокого риска разрушения ПС, с 2016 года проводятся работы  по переводу нагрузки ПС- 220/110/10кВ №131А «Горный Гигант» на ПС-220/110/10-6кВ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 по сетям 110кВ с последующим демонтажем ПС-131А». Целью реализации проекта является обеспечение электроснабжения потребителей г. Алматы  и перевод нагрузок ЛЭП 110кВ 110А/111А, 163А/164А, 153А, №148А на ПС 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». В 2018 году все вновь построенные 4-е (Л№110А, Л№111А, Л№163А, Л№164А) кабельные линии 110кВ протяженностью 10,295 км и </w:t>
      </w:r>
      <w:proofErr w:type="gram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ВЛ</w:t>
      </w:r>
      <w:proofErr w:type="gram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110кВ №148А, 153А включены под рабочее напряжение и поставлены под нагрузку, тем самым нагрузки ПС «Горный Гигант» переведены на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». Завершение работ в 2019 году.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В 2018 году </w:t>
      </w:r>
      <w:proofErr w:type="gram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включена</w:t>
      </w:r>
      <w:proofErr w:type="gram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под рабочее напряжение проложенная КЛ-110кВ №120АИ заход-выхода на ПС-220/110/10кВ №166А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Бесагаш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 до опоры №78, №81. Реконструкция ЛЭП-110кВ позволит разгрузить автотрансформаторы АТЭЦ-3 и увеличить пропускную способность транзита сети 110кВ АТЭЦ-3-ПС №16И «НЯЦ».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2018 году завершено производство работ по переводу части нагрузок с ПС-37А «Поршень» на ПС-151А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Райымбек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», переводу существующих сетей 6кВ на 10кВ от РП-41, переводу существующих сетей 6кВ </w:t>
      </w:r>
      <w:proofErr w:type="gram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на</w:t>
      </w:r>
      <w:proofErr w:type="gram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10кВ по РЭС-1 в районе ПС-1А;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2018 году завершены работы по первой очереди первого этапа работ по реконструкции РП и ТП в зоне ПС 3А (168А) и ПС 6А, а также по реконструкции и замене ТП с переводом напряжения 6кВ на 10кВ в РЭС-5.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2018 году продолжаются работы по переводу существующих сетей 6кВ ПС-22А, 50А, 100А на напряжение 10кВ от ЛЭП-10</w:t>
      </w:r>
      <w:proofErr w:type="gram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В</w:t>
      </w:r>
      <w:proofErr w:type="gram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ПС-150А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Алмалы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 и от вновь построенных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Медеу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 и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Шымбулак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по переводу нагрузки с ПС №19А на вновь построенную ПС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Мамыр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», по переводу части нагрузок с существующих ПС №5А, ПС №17А и ПС №132А на вновь построенную ПС-110/10-10кВ №163А «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Отрар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», по реконструкции, новому строительству ВЛ-0,4кВ по РЭС-1, РЭС-4, РЭС-5, РЭС-7 с переводом на самонесущий изолированный провод, строительству и реконструкции </w:t>
      </w:r>
      <w:proofErr w:type="gram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существующих</w:t>
      </w:r>
      <w:proofErr w:type="gram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ТП для разгрузки перегруженных ТП. Реконструкции не соответствующих эксплуатационным требованиям ТП-6-10/0,4кВ, а также по реконструкции </w:t>
      </w:r>
      <w:r w:rsidRPr="002D1505">
        <w:rPr>
          <w:rFonts w:ascii="Times New Roman" w:eastAsia="Times New Roman" w:hAnsi="Times New Roman"/>
          <w:color w:val="000000"/>
          <w:sz w:val="16"/>
          <w:szCs w:val="16"/>
        </w:rPr>
        <w:lastRenderedPageBreak/>
        <w:t xml:space="preserve">оборудования сетей 6кВ РП-42 и переводу сетей 6кВ РП-42 на повышенное напряжение 10кВ. Эффектом от реализации проектов является сокращение потерь в электрических сетях АО «АЖК», а также увеличение пропускной способности распределительных сетей 10кВ путем ликвидации класса напряжения 35кВ и перевода электрических сетей 6кВ на напряжение 10кВ. 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Завершено производство работ по реконструкции ПС-110/35/10кВ №58И «Талгар» с заменой оборудования ОРУ-110кВ, ЗРУ-35кВ, ЗРУ-10кВ и заменой трансформаторов мощностью 2х25 МВА на трансформаторы мощностью 2х40 МВА с системой предотвращения взрыва и пожаров. </w:t>
      </w:r>
    </w:p>
    <w:p w:rsidR="00D86983" w:rsidRPr="002D1505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Продолжается производство работ по реконструкции сетей 6/10-0,4кВ по г. Алматы и </w:t>
      </w:r>
      <w:proofErr w:type="spell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Алматинской</w:t>
      </w:r>
      <w:proofErr w:type="spell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области. В 2018 году установлены одностоечные и анкерные опоры, смонтирован магистральный СИП, демонтированы старые опоры и голый провод, выполнено подключение абонентов.</w:t>
      </w:r>
    </w:p>
    <w:p w:rsidR="00D86983" w:rsidRDefault="00D86983" w:rsidP="00D8698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proofErr w:type="gramStart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>В рамках программы создания АСКУЭ за 2013-2018 годы создан центральный узел обработки информации АСКУЭ, включающий в себя программное обеспечение и серверное оборудование, реализован проект верхнего уровня, охватывающий ПС на границе раздела балансовой принадлежности АО «АЖК» - АО «KEGOC», реализован проект на нижнем уровне по установке ПУ у потребителей в количестве 201 448 шт. в том числе в 2018 году – 36 501</w:t>
      </w:r>
      <w:proofErr w:type="gramEnd"/>
      <w:r w:rsidRPr="002D1505">
        <w:rPr>
          <w:rFonts w:ascii="Times New Roman" w:eastAsia="Times New Roman" w:hAnsi="Times New Roman"/>
          <w:color w:val="000000"/>
          <w:sz w:val="16"/>
          <w:szCs w:val="16"/>
        </w:rPr>
        <w:t xml:space="preserve"> шт. и шкафов УСПД на ТП в количестве 1 399 шт., установлено оборудование АСКУЭ (приборы учета и УСПД) на 57 ПС и 91 РП, приобретены лицензии в количестве 41 501 штук.</w:t>
      </w:r>
    </w:p>
    <w:p w:rsidR="00D86983" w:rsidRPr="002D1505" w:rsidRDefault="00D86983" w:rsidP="00D86983">
      <w:pPr>
        <w:pStyle w:val="a3"/>
        <w:ind w:left="144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>Основные финансово-экономические показатели деятельности АО "АЖК" за 201</w:t>
      </w:r>
      <w:r w:rsidR="003B08EC">
        <w:rPr>
          <w:rFonts w:ascii="Times New Roman" w:hAnsi="Times New Roman" w:cs="Times New Roman"/>
          <w:b/>
        </w:rPr>
        <w:t>8</w:t>
      </w:r>
      <w:r w:rsidRPr="004B29FF">
        <w:rPr>
          <w:rFonts w:ascii="Times New Roman" w:hAnsi="Times New Roman" w:cs="Times New Roman"/>
          <w:b/>
        </w:rPr>
        <w:t>г.</w:t>
      </w:r>
    </w:p>
    <w:p w:rsidR="00F748FD" w:rsidRPr="004B29FF" w:rsidRDefault="00F748FD" w:rsidP="00F748FD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В соответствии с принятой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аудированной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 xml:space="preserve"> финансовой отчетностью за 201</w:t>
      </w:r>
      <w:r w:rsidR="000F1193">
        <w:rPr>
          <w:rFonts w:ascii="Times New Roman" w:hAnsi="Times New Roman" w:cs="Times New Roman"/>
          <w:sz w:val="16"/>
          <w:szCs w:val="16"/>
        </w:rPr>
        <w:t>8</w:t>
      </w:r>
      <w:r w:rsidRPr="004B29FF">
        <w:rPr>
          <w:rFonts w:ascii="Times New Roman" w:hAnsi="Times New Roman" w:cs="Times New Roman"/>
          <w:sz w:val="16"/>
          <w:szCs w:val="16"/>
        </w:rPr>
        <w:t xml:space="preserve"> год финансово-экономические показатели составили: 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Выручка – </w:t>
      </w:r>
      <w:r w:rsidR="003B08EC">
        <w:rPr>
          <w:rFonts w:ascii="Times New Roman" w:hAnsi="Times New Roman" w:cs="Times New Roman"/>
          <w:sz w:val="16"/>
          <w:szCs w:val="16"/>
        </w:rPr>
        <w:t>40 258</w:t>
      </w:r>
      <w:r w:rsidRPr="004B29FF">
        <w:rPr>
          <w:rFonts w:ascii="Times New Roman" w:hAnsi="Times New Roman" w:cs="Times New Roman"/>
          <w:sz w:val="16"/>
          <w:szCs w:val="16"/>
        </w:rPr>
        <w:t xml:space="preserve"> млн. тенге;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себестоимость реализованных услуг – </w:t>
      </w:r>
      <w:r w:rsidR="003B08EC">
        <w:rPr>
          <w:rFonts w:ascii="Times New Roman" w:hAnsi="Times New Roman" w:cs="Times New Roman"/>
          <w:sz w:val="16"/>
          <w:szCs w:val="16"/>
        </w:rPr>
        <w:t>30 068</w:t>
      </w:r>
      <w:r w:rsidRPr="004B29FF">
        <w:rPr>
          <w:rFonts w:ascii="Times New Roman" w:hAnsi="Times New Roman" w:cs="Times New Roman"/>
          <w:sz w:val="16"/>
          <w:szCs w:val="16"/>
        </w:rPr>
        <w:t xml:space="preserve"> млн. тенге;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валовая прибыль – </w:t>
      </w:r>
      <w:r w:rsidR="003B08EC">
        <w:rPr>
          <w:rFonts w:ascii="Times New Roman" w:hAnsi="Times New Roman" w:cs="Times New Roman"/>
          <w:sz w:val="16"/>
          <w:szCs w:val="16"/>
        </w:rPr>
        <w:t>10 190</w:t>
      </w:r>
      <w:r w:rsidRPr="004B29FF">
        <w:rPr>
          <w:rFonts w:ascii="Times New Roman" w:hAnsi="Times New Roman" w:cs="Times New Roman"/>
          <w:sz w:val="16"/>
          <w:szCs w:val="16"/>
        </w:rPr>
        <w:t xml:space="preserve"> млн. тенге;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финансовые и прочие доходы – </w:t>
      </w:r>
      <w:r w:rsidR="003B08EC">
        <w:rPr>
          <w:rFonts w:ascii="Times New Roman" w:hAnsi="Times New Roman" w:cs="Times New Roman"/>
          <w:sz w:val="16"/>
          <w:szCs w:val="16"/>
        </w:rPr>
        <w:t>874</w:t>
      </w:r>
      <w:r w:rsidRPr="004B29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Pr="004B29FF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>енге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;</w:t>
      </w:r>
    </w:p>
    <w:p w:rsidR="00F748FD" w:rsidRPr="004B29FF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Общие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адм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.</w:t>
      </w:r>
      <w:proofErr w:type="gramStart"/>
      <w:r w:rsidRPr="004B29FF">
        <w:rPr>
          <w:rFonts w:ascii="Times New Roman" w:hAnsi="Times New Roman" w:cs="Times New Roman"/>
          <w:sz w:val="16"/>
          <w:szCs w:val="16"/>
        </w:rPr>
        <w:t>,п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 xml:space="preserve">рочие и фин. расходы – </w:t>
      </w:r>
      <w:r w:rsidR="003B08EC">
        <w:rPr>
          <w:rFonts w:ascii="Times New Roman" w:hAnsi="Times New Roman" w:cs="Times New Roman"/>
          <w:sz w:val="16"/>
          <w:szCs w:val="16"/>
        </w:rPr>
        <w:t>3 735</w:t>
      </w:r>
      <w:r w:rsidRPr="004B29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млн.тенге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;</w:t>
      </w:r>
    </w:p>
    <w:p w:rsidR="00F748FD" w:rsidRDefault="00F748FD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 xml:space="preserve">Прибыль за год (после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налогооблажения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 xml:space="preserve">) – </w:t>
      </w:r>
      <w:r w:rsidR="003B08EC">
        <w:rPr>
          <w:rFonts w:ascii="Times New Roman" w:hAnsi="Times New Roman" w:cs="Times New Roman"/>
          <w:sz w:val="16"/>
          <w:szCs w:val="16"/>
        </w:rPr>
        <w:t>5 860</w:t>
      </w:r>
      <w:r w:rsidRPr="004B29F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B29FF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Pr="004B29FF">
        <w:rPr>
          <w:rFonts w:ascii="Times New Roman" w:hAnsi="Times New Roman" w:cs="Times New Roman"/>
          <w:sz w:val="16"/>
          <w:szCs w:val="16"/>
        </w:rPr>
        <w:t>.т</w:t>
      </w:r>
      <w:proofErr w:type="gramEnd"/>
      <w:r w:rsidRPr="004B29FF">
        <w:rPr>
          <w:rFonts w:ascii="Times New Roman" w:hAnsi="Times New Roman" w:cs="Times New Roman"/>
          <w:sz w:val="16"/>
          <w:szCs w:val="16"/>
        </w:rPr>
        <w:t>енге</w:t>
      </w:r>
      <w:proofErr w:type="spellEnd"/>
      <w:r w:rsidRPr="004B29FF">
        <w:rPr>
          <w:rFonts w:ascii="Times New Roman" w:hAnsi="Times New Roman" w:cs="Times New Roman"/>
          <w:sz w:val="16"/>
          <w:szCs w:val="16"/>
        </w:rPr>
        <w:t>.</w:t>
      </w:r>
    </w:p>
    <w:p w:rsidR="00D86983" w:rsidRPr="004B29FF" w:rsidRDefault="00D86983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 xml:space="preserve"> Объемы предоставленных регулируемых услуг за 201</w:t>
      </w:r>
      <w:r w:rsidR="003B08EC">
        <w:rPr>
          <w:rFonts w:ascii="Times New Roman" w:hAnsi="Times New Roman" w:cs="Times New Roman"/>
          <w:b/>
        </w:rPr>
        <w:t>8</w:t>
      </w:r>
      <w:r w:rsidRPr="004B29FF">
        <w:rPr>
          <w:rFonts w:ascii="Times New Roman" w:hAnsi="Times New Roman" w:cs="Times New Roman"/>
          <w:b/>
        </w:rPr>
        <w:t>г.</w:t>
      </w:r>
    </w:p>
    <w:p w:rsidR="00F748FD" w:rsidRPr="00A614D3" w:rsidRDefault="00F748FD" w:rsidP="00F748F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4B29FF">
        <w:rPr>
          <w:rFonts w:ascii="Times New Roman" w:hAnsi="Times New Roman" w:cs="Times New Roman"/>
          <w:sz w:val="16"/>
          <w:szCs w:val="16"/>
        </w:rPr>
        <w:tab/>
      </w:r>
      <w:r w:rsidR="00A614D3" w:rsidRPr="00A614D3">
        <w:rPr>
          <w:rFonts w:ascii="Times New Roman" w:hAnsi="Times New Roman" w:cs="Times New Roman"/>
          <w:sz w:val="16"/>
          <w:szCs w:val="16"/>
        </w:rPr>
        <w:t xml:space="preserve">Объем предоставленных регулируемых услуг </w:t>
      </w:r>
      <w:r w:rsidR="00A614D3" w:rsidRPr="004B29FF">
        <w:rPr>
          <w:rFonts w:ascii="Times New Roman" w:hAnsi="Times New Roman" w:cs="Times New Roman"/>
          <w:bCs/>
          <w:sz w:val="16"/>
          <w:szCs w:val="16"/>
        </w:rPr>
        <w:t>по передаче и распределению электрической энергии</w:t>
      </w:r>
      <w:r w:rsidR="00A614D3" w:rsidRPr="00A614D3">
        <w:rPr>
          <w:rFonts w:ascii="Times New Roman" w:hAnsi="Times New Roman" w:cs="Times New Roman"/>
          <w:sz w:val="16"/>
          <w:szCs w:val="16"/>
        </w:rPr>
        <w:t xml:space="preserve"> за 201</w:t>
      </w:r>
      <w:r w:rsidR="003B08EC">
        <w:rPr>
          <w:rFonts w:ascii="Times New Roman" w:hAnsi="Times New Roman" w:cs="Times New Roman"/>
          <w:sz w:val="16"/>
          <w:szCs w:val="16"/>
        </w:rPr>
        <w:t>8</w:t>
      </w:r>
      <w:r w:rsidR="00A614D3" w:rsidRPr="00A614D3">
        <w:rPr>
          <w:rFonts w:ascii="Times New Roman" w:hAnsi="Times New Roman" w:cs="Times New Roman"/>
          <w:sz w:val="16"/>
          <w:szCs w:val="16"/>
        </w:rPr>
        <w:t xml:space="preserve">г. </w:t>
      </w:r>
      <w:r w:rsidR="00A614D3">
        <w:rPr>
          <w:rFonts w:ascii="Times New Roman" w:hAnsi="Times New Roman" w:cs="Times New Roman"/>
          <w:sz w:val="16"/>
          <w:szCs w:val="16"/>
        </w:rPr>
        <w:t>составил 6 </w:t>
      </w:r>
      <w:r w:rsidR="003B08EC">
        <w:rPr>
          <w:rFonts w:ascii="Times New Roman" w:hAnsi="Times New Roman" w:cs="Times New Roman"/>
          <w:sz w:val="16"/>
          <w:szCs w:val="16"/>
        </w:rPr>
        <w:t>796</w:t>
      </w:r>
      <w:r w:rsidR="00A61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614D3">
        <w:rPr>
          <w:rFonts w:ascii="Times New Roman" w:hAnsi="Times New Roman" w:cs="Times New Roman"/>
          <w:sz w:val="16"/>
          <w:szCs w:val="16"/>
        </w:rPr>
        <w:t>млн</w:t>
      </w:r>
      <w:proofErr w:type="gramStart"/>
      <w:r w:rsidR="00A614D3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="00A614D3">
        <w:rPr>
          <w:rFonts w:ascii="Times New Roman" w:hAnsi="Times New Roman" w:cs="Times New Roman"/>
          <w:sz w:val="16"/>
          <w:szCs w:val="16"/>
        </w:rPr>
        <w:t>втч</w:t>
      </w:r>
      <w:proofErr w:type="spellEnd"/>
      <w:r w:rsidR="00A614D3">
        <w:rPr>
          <w:rFonts w:ascii="Times New Roman" w:hAnsi="Times New Roman" w:cs="Times New Roman"/>
          <w:sz w:val="16"/>
          <w:szCs w:val="16"/>
        </w:rPr>
        <w:t xml:space="preserve">, при плане </w:t>
      </w:r>
      <w:r w:rsidR="003B08EC">
        <w:rPr>
          <w:rFonts w:ascii="Times New Roman" w:hAnsi="Times New Roman" w:cs="Times New Roman"/>
          <w:sz w:val="16"/>
          <w:szCs w:val="16"/>
        </w:rPr>
        <w:t>6 889</w:t>
      </w:r>
      <w:r w:rsidR="00A614D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614D3">
        <w:rPr>
          <w:rFonts w:ascii="Times New Roman" w:hAnsi="Times New Roman" w:cs="Times New Roman"/>
          <w:sz w:val="16"/>
          <w:szCs w:val="16"/>
        </w:rPr>
        <w:t>млн.Квтч</w:t>
      </w:r>
      <w:proofErr w:type="spellEnd"/>
      <w:r w:rsidR="00A614D3">
        <w:rPr>
          <w:rFonts w:ascii="Times New Roman" w:hAnsi="Times New Roman" w:cs="Times New Roman"/>
          <w:sz w:val="16"/>
          <w:szCs w:val="16"/>
        </w:rPr>
        <w:t>, отклонение составило 1,</w:t>
      </w:r>
      <w:r w:rsidR="003B08EC">
        <w:rPr>
          <w:rFonts w:ascii="Times New Roman" w:hAnsi="Times New Roman" w:cs="Times New Roman"/>
          <w:sz w:val="16"/>
          <w:szCs w:val="16"/>
        </w:rPr>
        <w:t>3</w:t>
      </w:r>
      <w:r w:rsidR="00A614D3">
        <w:rPr>
          <w:rFonts w:ascii="Times New Roman" w:hAnsi="Times New Roman" w:cs="Times New Roman"/>
          <w:sz w:val="16"/>
          <w:szCs w:val="16"/>
        </w:rPr>
        <w:t xml:space="preserve">% что </w:t>
      </w:r>
      <w:r w:rsidR="00A614D3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A614D3" w:rsidRPr="007B7EE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пределах утвержденной тарифной сметы</w:t>
      </w:r>
      <w:r w:rsidR="00A614D3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F748FD" w:rsidRPr="004B29FF" w:rsidRDefault="00F748FD" w:rsidP="00F748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>Проводимая работа с потребителями регулируемых услуг.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>Качественное и бесперебойное предоставление услуг по передаче и распределению электрической энергии и повышение удовлетворенности потребителей качеством предоставляемых услуг;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>Своевременное и качественное заключение договоров на оптовом и розничном рынках электрической энергии;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197577">
        <w:rPr>
          <w:rFonts w:ascii="Times New Roman" w:hAnsi="Times New Roman" w:cs="Times New Roman"/>
          <w:bCs/>
          <w:sz w:val="16"/>
          <w:szCs w:val="16"/>
        </w:rPr>
        <w:t>Контроль за</w:t>
      </w:r>
      <w:proofErr w:type="gramEnd"/>
      <w:r w:rsidRPr="00197577">
        <w:rPr>
          <w:rFonts w:ascii="Times New Roman" w:hAnsi="Times New Roman" w:cs="Times New Roman"/>
          <w:bCs/>
          <w:sz w:val="16"/>
          <w:szCs w:val="16"/>
        </w:rPr>
        <w:t xml:space="preserve"> выполнением суточного диспетчерского графика производства/потребления электрической энергии в пределах границ </w:t>
      </w:r>
      <w:proofErr w:type="spellStart"/>
      <w:r w:rsidRPr="00197577">
        <w:rPr>
          <w:rFonts w:ascii="Times New Roman" w:hAnsi="Times New Roman" w:cs="Times New Roman"/>
          <w:bCs/>
          <w:sz w:val="16"/>
          <w:szCs w:val="16"/>
        </w:rPr>
        <w:t>Алматинского</w:t>
      </w:r>
      <w:proofErr w:type="spellEnd"/>
      <w:r w:rsidRPr="00197577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197577">
        <w:rPr>
          <w:rFonts w:ascii="Times New Roman" w:hAnsi="Times New Roman" w:cs="Times New Roman"/>
          <w:bCs/>
          <w:sz w:val="16"/>
          <w:szCs w:val="16"/>
        </w:rPr>
        <w:t>энергоузла</w:t>
      </w:r>
      <w:proofErr w:type="spellEnd"/>
      <w:r w:rsidRPr="00197577">
        <w:rPr>
          <w:rFonts w:ascii="Times New Roman" w:hAnsi="Times New Roman" w:cs="Times New Roman"/>
          <w:bCs/>
          <w:sz w:val="16"/>
          <w:szCs w:val="16"/>
        </w:rPr>
        <w:t>;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>Предоставление мощностей потребителям, в запрашиваемых объемах (выдача технических условий);</w:t>
      </w:r>
    </w:p>
    <w:p w:rsidR="00197577" w:rsidRPr="00197577" w:rsidRDefault="00197577" w:rsidP="00197577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197577">
        <w:rPr>
          <w:rFonts w:ascii="Times New Roman" w:hAnsi="Times New Roman" w:cs="Times New Roman"/>
          <w:bCs/>
          <w:sz w:val="16"/>
          <w:szCs w:val="16"/>
        </w:rPr>
        <w:t xml:space="preserve">В рамках упрощения процедуры получения технических условий для потребителей, внедрена программа по переводу в онлайн режим процедуры «получения технических условий» (подача заявлений и получение подготовленных технических условий на интернет-сайте </w:t>
      </w:r>
      <w:hyperlink r:id="rId6" w:history="1">
        <w:r w:rsidRPr="00197577">
          <w:rPr>
            <w:rStyle w:val="a6"/>
            <w:rFonts w:ascii="Times New Roman" w:hAnsi="Times New Roman" w:cs="Times New Roman"/>
            <w:bCs/>
            <w:sz w:val="16"/>
            <w:szCs w:val="16"/>
            <w:lang w:val="en-US"/>
          </w:rPr>
          <w:t>www</w:t>
        </w:r>
      </w:hyperlink>
      <w:hyperlink r:id="rId7" w:history="1">
        <w:r w:rsidRPr="00197577">
          <w:rPr>
            <w:rStyle w:val="a6"/>
            <w:rFonts w:ascii="Times New Roman" w:hAnsi="Times New Roman" w:cs="Times New Roman"/>
            <w:bCs/>
            <w:sz w:val="16"/>
            <w:szCs w:val="16"/>
          </w:rPr>
          <w:t>.</w:t>
        </w:r>
      </w:hyperlink>
      <w:hyperlink r:id="rId8" w:history="1">
        <w:proofErr w:type="spellStart"/>
        <w:r w:rsidRPr="00197577">
          <w:rPr>
            <w:rStyle w:val="a6"/>
            <w:rFonts w:ascii="Times New Roman" w:hAnsi="Times New Roman" w:cs="Times New Roman"/>
            <w:bCs/>
            <w:sz w:val="16"/>
            <w:szCs w:val="16"/>
            <w:lang w:val="en-US"/>
          </w:rPr>
          <w:t>azhk</w:t>
        </w:r>
        <w:proofErr w:type="spellEnd"/>
      </w:hyperlink>
      <w:hyperlink r:id="rId9" w:history="1">
        <w:r w:rsidRPr="00197577">
          <w:rPr>
            <w:rStyle w:val="a6"/>
            <w:rFonts w:ascii="Times New Roman" w:hAnsi="Times New Roman" w:cs="Times New Roman"/>
            <w:bCs/>
            <w:sz w:val="16"/>
            <w:szCs w:val="16"/>
          </w:rPr>
          <w:t>.</w:t>
        </w:r>
      </w:hyperlink>
      <w:hyperlink r:id="rId10" w:history="1">
        <w:proofErr w:type="spellStart"/>
        <w:r w:rsidRPr="00197577">
          <w:rPr>
            <w:rStyle w:val="a6"/>
            <w:rFonts w:ascii="Times New Roman" w:hAnsi="Times New Roman" w:cs="Times New Roman"/>
            <w:bCs/>
            <w:sz w:val="16"/>
            <w:szCs w:val="16"/>
            <w:lang w:val="en-US"/>
          </w:rPr>
          <w:t>kz</w:t>
        </w:r>
        <w:proofErr w:type="spellEnd"/>
      </w:hyperlink>
      <w:r w:rsidRPr="00197577">
        <w:rPr>
          <w:rFonts w:ascii="Times New Roman" w:hAnsi="Times New Roman" w:cs="Times New Roman"/>
          <w:bCs/>
          <w:sz w:val="16"/>
          <w:szCs w:val="16"/>
        </w:rPr>
        <w:t xml:space="preserve">, в разделе «Получение технических условий», посредством </w:t>
      </w:r>
      <w:proofErr w:type="gramStart"/>
      <w:r w:rsidRPr="00197577">
        <w:rPr>
          <w:rFonts w:ascii="Times New Roman" w:hAnsi="Times New Roman" w:cs="Times New Roman"/>
          <w:bCs/>
          <w:sz w:val="16"/>
          <w:szCs w:val="16"/>
        </w:rPr>
        <w:t>электронной-цифровой</w:t>
      </w:r>
      <w:proofErr w:type="gramEnd"/>
      <w:r w:rsidRPr="00197577">
        <w:rPr>
          <w:rFonts w:ascii="Times New Roman" w:hAnsi="Times New Roman" w:cs="Times New Roman"/>
          <w:bCs/>
          <w:sz w:val="16"/>
          <w:szCs w:val="16"/>
        </w:rPr>
        <w:t xml:space="preserve"> подписи).</w:t>
      </w:r>
    </w:p>
    <w:p w:rsidR="00F748FD" w:rsidRPr="004B29FF" w:rsidRDefault="00F748FD" w:rsidP="00F748F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>Исполнение утвержденной Тарифной сметы за 201</w:t>
      </w:r>
      <w:r w:rsidR="003B08EC">
        <w:rPr>
          <w:rFonts w:ascii="Times New Roman" w:hAnsi="Times New Roman" w:cs="Times New Roman"/>
          <w:b/>
        </w:rPr>
        <w:t>8</w:t>
      </w:r>
      <w:r w:rsidRPr="004B29FF">
        <w:rPr>
          <w:rFonts w:ascii="Times New Roman" w:hAnsi="Times New Roman" w:cs="Times New Roman"/>
          <w:b/>
        </w:rPr>
        <w:t xml:space="preserve">г. </w:t>
      </w:r>
    </w:p>
    <w:tbl>
      <w:tblPr>
        <w:tblW w:w="14889" w:type="dxa"/>
        <w:tblInd w:w="103" w:type="dxa"/>
        <w:tblLook w:val="04A0" w:firstRow="1" w:lastRow="0" w:firstColumn="1" w:lastColumn="0" w:noHBand="0" w:noVBand="1"/>
      </w:tblPr>
      <w:tblGrid>
        <w:gridCol w:w="620"/>
        <w:gridCol w:w="2940"/>
        <w:gridCol w:w="960"/>
        <w:gridCol w:w="1297"/>
        <w:gridCol w:w="1276"/>
        <w:gridCol w:w="1276"/>
        <w:gridCol w:w="6520"/>
      </w:tblGrid>
      <w:tr w:rsidR="003B08EC" w:rsidRPr="003B08EC" w:rsidTr="003B08EC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показателей*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Причины отклонений 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Затраты на производство товаров и предоставление услуг, всего, в 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28 961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152574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28 784</w:t>
            </w:r>
            <w:r w:rsidR="003B08EC"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6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-0,6</w:t>
            </w:r>
            <w:r w:rsidR="0067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Материальные затраты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751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728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-3,10%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на оплату труда, с отчислениями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7 292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7 623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4,54%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6 625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6 745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Капитальный 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ремонт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 приводящий к увеличению основных фондов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1 854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1 776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-4,20%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Затраты на нормативные потери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10 202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9 869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-3,26%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В пределах утвержденной тарифной сметы</w:t>
            </w:r>
          </w:p>
        </w:tc>
      </w:tr>
      <w:tr w:rsidR="003B08EC" w:rsidRPr="003B08EC" w:rsidTr="003B08EC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Услуга по организации балансирования производства-потребления электрической энергии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107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92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-14,15%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связи со снижением потерь (снижение объемов передачи электроэнергии по сетям АО «АЖК»), так же со снижением потребления электроэнергии  на хозяйственные нужды за 2018г. по отношению к утвержденному плану 2018г. 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Регулирование частоты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млн.тг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639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557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-12,78%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Экономия в рамках повышения эффективности деятельности Компании, по итогам закупочных процедур</w:t>
            </w:r>
          </w:p>
        </w:tc>
      </w:tr>
      <w:tr w:rsidR="003B08EC" w:rsidRPr="003B08EC" w:rsidTr="003B08EC">
        <w:trPr>
          <w:trHeight w:val="18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 сторонних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1 491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535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1 39</w:t>
            </w:r>
            <w:r w:rsidR="005359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6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-6,</w:t>
            </w:r>
            <w:r w:rsidR="0067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  <w:bookmarkStart w:id="0" w:name="_GoBack"/>
            <w:bookmarkEnd w:id="0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197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Данная экономия связана с: экономией по итогам закупочных процедур;  по статье затрат "</w:t>
            </w:r>
            <w:r w:rsidR="00640EE8"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</w:t>
            </w: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труда" списанием учебных стендов на основные средства, согласно МСФО, согласно </w:t>
            </w:r>
            <w:r w:rsidR="00640EE8"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рекомендациям</w:t>
            </w: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данных аудиторами  в целях корректного учета затрат</w:t>
            </w:r>
            <w:r w:rsidR="00197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Расходы периода всего, в 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2 810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2 763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-1,68%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Общие и административные расходы, всего: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1 830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1 778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-2,84%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Заработная плата административного персонала, с отчислениями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482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473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-1,89%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1 089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1 055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-3,13%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расходы, всего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260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251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-3,34%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 (экономия по коммунальным, командировочным расходам)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выплату вознаграждений Банков второго уровня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980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985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Всего затрат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31 771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AA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31 5</w:t>
            </w:r>
            <w:r w:rsidR="00AA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-0,70%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Прибыль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8 499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AA3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8 47</w:t>
            </w:r>
            <w:r w:rsidR="00AA31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67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-0,3</w:t>
            </w:r>
            <w:r w:rsidR="00676C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40 270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40 020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-0,62%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4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оказываемых услуг (товаров, работ)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6 889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6 796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-1,35%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Нормативные технические потери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14,67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14,67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3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млн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1 186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1 148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-3,26%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пределах утвержденной тарифной сметы</w:t>
            </w:r>
          </w:p>
        </w:tc>
      </w:tr>
      <w:tr w:rsidR="003B08EC" w:rsidRPr="003B08EC" w:rsidTr="003B08EC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 (без НДС)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5,85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5,89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0,74%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8EC" w:rsidRPr="003B08EC" w:rsidRDefault="003B08EC" w:rsidP="003B08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Средний расчетный тариф сложился в размере 5,89 тенге/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НДС). Так как, в течени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2018г. </w:t>
            </w:r>
            <w:proofErr w:type="gram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"АЖК" оказывало регулируемый вид услуги по следующим тарифам: с 01.01.2018г.-30.04.2018г. - 6,04 тенге/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НДС); с 01.05.2018г.-20.06.2018г. - 6,03 тенге/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НДС); с 21.06.2018г.-31.07.2018г. - 5,85 тенге/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НДС); с 01.08.2018г.-31.12.2018г. - 5,73 тенге/</w:t>
            </w:r>
            <w:proofErr w:type="spellStart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  <w:proofErr w:type="spellEnd"/>
            <w:r w:rsidRPr="003B08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(без НДС).</w:t>
            </w:r>
            <w:proofErr w:type="gramEnd"/>
          </w:p>
        </w:tc>
      </w:tr>
    </w:tbl>
    <w:p w:rsidR="00F748FD" w:rsidRPr="004B29FF" w:rsidRDefault="00F748FD" w:rsidP="00F74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B29FF">
        <w:t xml:space="preserve"> </w:t>
      </w:r>
      <w:r w:rsidRPr="004B29FF">
        <w:rPr>
          <w:rFonts w:ascii="Times New Roman" w:hAnsi="Times New Roman" w:cs="Times New Roman"/>
          <w:b/>
        </w:rPr>
        <w:t>О перспективах</w:t>
      </w:r>
      <w:r w:rsidR="004B29FF">
        <w:rPr>
          <w:rFonts w:ascii="Times New Roman" w:hAnsi="Times New Roman" w:cs="Times New Roman"/>
          <w:b/>
        </w:rPr>
        <w:t xml:space="preserve"> деятельности (планы развития)</w:t>
      </w:r>
    </w:p>
    <w:p w:rsidR="00F748FD" w:rsidRPr="004B29FF" w:rsidRDefault="00F748FD" w:rsidP="00F748F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8FD" w:rsidRPr="004B29FF" w:rsidRDefault="00F748FD" w:rsidP="004B29FF">
      <w:pPr>
        <w:pStyle w:val="a3"/>
        <w:spacing w:after="0"/>
        <w:ind w:left="1440"/>
        <w:rPr>
          <w:rFonts w:ascii="Times New Roman" w:hAnsi="Times New Roman" w:cs="Times New Roman"/>
          <w:b/>
          <w:sz w:val="16"/>
          <w:szCs w:val="16"/>
        </w:rPr>
      </w:pPr>
      <w:r w:rsidRPr="004B29FF">
        <w:rPr>
          <w:rFonts w:ascii="Times New Roman" w:hAnsi="Times New Roman" w:cs="Times New Roman"/>
          <w:b/>
          <w:sz w:val="16"/>
          <w:szCs w:val="16"/>
        </w:rPr>
        <w:t>6.1. О перспективах деятельности (планы развития), утвержденной ведомством уполномоченного органа Инвестиционной программы АО «АЖК» на 201</w:t>
      </w:r>
      <w:r w:rsidR="003B08EC">
        <w:rPr>
          <w:rFonts w:ascii="Times New Roman" w:hAnsi="Times New Roman" w:cs="Times New Roman"/>
          <w:b/>
          <w:sz w:val="16"/>
          <w:szCs w:val="16"/>
        </w:rPr>
        <w:t>9</w:t>
      </w:r>
      <w:r w:rsidRPr="004B29FF">
        <w:rPr>
          <w:rFonts w:ascii="Times New Roman" w:hAnsi="Times New Roman" w:cs="Times New Roman"/>
          <w:b/>
          <w:sz w:val="16"/>
          <w:szCs w:val="16"/>
        </w:rPr>
        <w:t xml:space="preserve">-2020 </w:t>
      </w:r>
      <w:proofErr w:type="spellStart"/>
      <w:r w:rsidRPr="004B29FF">
        <w:rPr>
          <w:rFonts w:ascii="Times New Roman" w:hAnsi="Times New Roman" w:cs="Times New Roman"/>
          <w:b/>
          <w:sz w:val="16"/>
          <w:szCs w:val="16"/>
        </w:rPr>
        <w:t>г.г</w:t>
      </w:r>
      <w:proofErr w:type="spellEnd"/>
      <w:r w:rsidRPr="004B29FF">
        <w:rPr>
          <w:rFonts w:ascii="Times New Roman" w:hAnsi="Times New Roman" w:cs="Times New Roman"/>
          <w:b/>
          <w:sz w:val="16"/>
          <w:szCs w:val="16"/>
        </w:rPr>
        <w:t>.</w:t>
      </w:r>
    </w:p>
    <w:p w:rsidR="00F748FD" w:rsidRPr="004B29FF" w:rsidRDefault="00F748FD" w:rsidP="00F748FD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29FF">
        <w:rPr>
          <w:rFonts w:ascii="Times New Roman" w:eastAsia="Times New Roman" w:hAnsi="Times New Roman"/>
          <w:color w:val="000000"/>
          <w:sz w:val="16"/>
          <w:szCs w:val="16"/>
        </w:rPr>
        <w:tab/>
        <w:t xml:space="preserve"> </w:t>
      </w:r>
      <w:r w:rsidRPr="004B29FF">
        <w:rPr>
          <w:rFonts w:ascii="Times New Roman" w:hAnsi="Times New Roman" w:cs="Times New Roman"/>
          <w:b/>
          <w:sz w:val="16"/>
          <w:szCs w:val="16"/>
        </w:rPr>
        <w:t>Утвержденная ведомством уполномоченного органа Инвестиционная программы АО «АЖК» на 201</w:t>
      </w:r>
      <w:r w:rsidR="003B08EC">
        <w:rPr>
          <w:rFonts w:ascii="Times New Roman" w:hAnsi="Times New Roman" w:cs="Times New Roman"/>
          <w:b/>
          <w:sz w:val="16"/>
          <w:szCs w:val="16"/>
        </w:rPr>
        <w:t>9</w:t>
      </w:r>
      <w:r w:rsidRPr="004B29FF">
        <w:rPr>
          <w:rFonts w:ascii="Times New Roman" w:hAnsi="Times New Roman" w:cs="Times New Roman"/>
          <w:b/>
          <w:sz w:val="16"/>
          <w:szCs w:val="16"/>
        </w:rPr>
        <w:t>-2020 годы</w:t>
      </w:r>
    </w:p>
    <w:p w:rsidR="00D86983" w:rsidRDefault="00F748FD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4B29FF">
        <w:rPr>
          <w:rFonts w:ascii="Times New Roman" w:eastAsia="Times New Roman" w:hAnsi="Times New Roman"/>
          <w:color w:val="000000"/>
          <w:sz w:val="16"/>
          <w:szCs w:val="16"/>
        </w:rPr>
        <w:lastRenderedPageBreak/>
        <w:tab/>
      </w:r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>Инвестиционная программа АО «АЖК» на 2016-2020 годы утверждена совместным приказом ДКРЕМиЗК по г.</w:t>
      </w:r>
      <w:r w:rsidR="00D86983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 xml:space="preserve">Алматы №170-ОД от 18.08.2015 года, ДКРЕМиЗК по </w:t>
      </w:r>
      <w:proofErr w:type="spellStart"/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>Алматинской</w:t>
      </w:r>
      <w:proofErr w:type="spellEnd"/>
      <w:r w:rsidR="00D86983" w:rsidRPr="004B29FF">
        <w:rPr>
          <w:rFonts w:ascii="Times New Roman" w:eastAsia="Times New Roman" w:hAnsi="Times New Roman"/>
          <w:color w:val="000000"/>
          <w:sz w:val="16"/>
          <w:szCs w:val="16"/>
        </w:rPr>
        <w:t xml:space="preserve"> области №252-ОД от 02.09.2015 года, МЭ РК №595 от 12.10.2015 года.</w:t>
      </w:r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D16068">
        <w:rPr>
          <w:rFonts w:ascii="Times New Roman" w:eastAsia="Times New Roman" w:hAnsi="Times New Roman"/>
          <w:color w:val="000000"/>
          <w:sz w:val="16"/>
          <w:szCs w:val="16"/>
        </w:rPr>
        <w:t xml:space="preserve">В соответствии с Посланием Президента РК </w:t>
      </w:r>
      <w:proofErr w:type="spellStart"/>
      <w:r w:rsidRPr="00D16068">
        <w:rPr>
          <w:rFonts w:ascii="Times New Roman" w:eastAsia="Times New Roman" w:hAnsi="Times New Roman"/>
          <w:color w:val="000000"/>
          <w:sz w:val="16"/>
          <w:szCs w:val="16"/>
        </w:rPr>
        <w:t>Н.Назарбаева</w:t>
      </w:r>
      <w:proofErr w:type="spellEnd"/>
      <w:r w:rsidRPr="00D16068">
        <w:rPr>
          <w:rFonts w:ascii="Times New Roman" w:eastAsia="Times New Roman" w:hAnsi="Times New Roman"/>
          <w:color w:val="000000"/>
          <w:sz w:val="16"/>
          <w:szCs w:val="16"/>
        </w:rPr>
        <w:t xml:space="preserve"> народу Казахстана 5 октября 2018 года и проводимой работой Правительством РК по сдерживанию и снижению тарифов на услуги жилищно-коммунального хозяйства, в рамках утвержденной Инвестиционной программы скорректированы затраты по мероприятиям инвестиционной программы в сторону уменьшения.</w:t>
      </w:r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BB1341">
        <w:rPr>
          <w:rFonts w:ascii="Times New Roman" w:eastAsia="Times New Roman" w:hAnsi="Times New Roman"/>
          <w:color w:val="000000"/>
          <w:sz w:val="16"/>
          <w:szCs w:val="16"/>
        </w:rPr>
        <w:t>По результатам снижения затрат Инвестиционной программы за счет собственных средств на сумму 1 160 млн. тенге, общий объем капитальных затрат на 2019 год составит 10 857 млн. тенге.</w:t>
      </w:r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proofErr w:type="gramStart"/>
      <w:r>
        <w:rPr>
          <w:rFonts w:ascii="Times New Roman" w:eastAsia="Times New Roman" w:hAnsi="Times New Roman"/>
          <w:color w:val="000000"/>
          <w:sz w:val="16"/>
          <w:szCs w:val="16"/>
        </w:rPr>
        <w:t>Также, в</w:t>
      </w:r>
      <w:r w:rsidRPr="00642D0F">
        <w:rPr>
          <w:rFonts w:ascii="Times New Roman" w:eastAsia="Times New Roman" w:hAnsi="Times New Roman"/>
          <w:color w:val="000000"/>
          <w:sz w:val="16"/>
          <w:szCs w:val="16"/>
        </w:rPr>
        <w:t xml:space="preserve"> соответствии с пунктом 8 статьи 21 Закона РК «О естественных монополиях и регулируемых рынках», </w:t>
      </w:r>
      <w:r>
        <w:rPr>
          <w:rFonts w:ascii="Times New Roman" w:eastAsia="Times New Roman" w:hAnsi="Times New Roman"/>
          <w:color w:val="000000"/>
          <w:sz w:val="16"/>
          <w:szCs w:val="16"/>
        </w:rPr>
        <w:t>в</w:t>
      </w:r>
      <w:r w:rsidRPr="00642D0F">
        <w:rPr>
          <w:rFonts w:ascii="Times New Roman" w:eastAsia="Times New Roman" w:hAnsi="Times New Roman"/>
          <w:color w:val="000000"/>
          <w:sz w:val="16"/>
          <w:szCs w:val="16"/>
        </w:rPr>
        <w:t xml:space="preserve"> соответствии с пунктом 26 «Правил утверждения инвестиционной программы (проекта) субъекта естественной монополии и ее корректировки»,  утвержденных Приказом МНЭ РК от 30.12.2014 года №194, скорректирована Инвестиционная программа АО «АЖК» на 2018-2019 годы в связи с переносом сроков исполнения мероприятий.</w:t>
      </w:r>
      <w:proofErr w:type="gramEnd"/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642D0F">
        <w:rPr>
          <w:rFonts w:ascii="Times New Roman" w:eastAsia="Times New Roman" w:hAnsi="Times New Roman"/>
          <w:color w:val="000000"/>
          <w:sz w:val="16"/>
          <w:szCs w:val="16"/>
        </w:rPr>
        <w:t xml:space="preserve">Инвестиционная программа АО «АЖК» на 2019 год скорректирована на сумму 11 833 млн. тенге. </w:t>
      </w:r>
    </w:p>
    <w:p w:rsidR="00D86983" w:rsidRDefault="00D86983" w:rsidP="00D86983">
      <w:pPr>
        <w:pStyle w:val="a3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642D0F">
        <w:rPr>
          <w:rFonts w:ascii="Times New Roman" w:eastAsia="Times New Roman" w:hAnsi="Times New Roman"/>
          <w:color w:val="000000"/>
          <w:sz w:val="16"/>
          <w:szCs w:val="16"/>
        </w:rPr>
        <w:t xml:space="preserve">С учетом корректировки на 2019 год Инвестиционная программа на 2019-2020 </w:t>
      </w:r>
      <w:r>
        <w:rPr>
          <w:rFonts w:ascii="Times New Roman" w:eastAsia="Times New Roman" w:hAnsi="Times New Roman"/>
          <w:color w:val="000000"/>
          <w:sz w:val="16"/>
          <w:szCs w:val="16"/>
        </w:rPr>
        <w:t>годы составила 23 548 млн. тенге:</w:t>
      </w:r>
    </w:p>
    <w:tbl>
      <w:tblPr>
        <w:tblW w:w="107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94"/>
        <w:gridCol w:w="1418"/>
        <w:gridCol w:w="1559"/>
        <w:gridCol w:w="1417"/>
      </w:tblGrid>
      <w:tr w:rsidR="00D86983" w:rsidRPr="00D305CC" w:rsidTr="00424F10">
        <w:trPr>
          <w:trHeight w:val="260"/>
        </w:trPr>
        <w:tc>
          <w:tcPr>
            <w:tcW w:w="6394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</w:tr>
      <w:tr w:rsidR="00D86983" w:rsidRPr="00D305CC" w:rsidTr="00424F10">
        <w:trPr>
          <w:trHeight w:val="486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Реконструкция распределительных электрических сетей 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4 776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4 200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8 976</w:t>
            </w:r>
          </w:p>
        </w:tc>
      </w:tr>
      <w:tr w:rsidR="00D86983" w:rsidRPr="00D305CC" w:rsidTr="00424F10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Строительство, Реконструкция ЛЭП 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1 112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1 450</w:t>
            </w:r>
          </w:p>
        </w:tc>
      </w:tr>
      <w:tr w:rsidR="00D86983" w:rsidRPr="00D305CC" w:rsidTr="00424F10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Строительство, Реконструкция ПС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3 001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3 780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6 781</w:t>
            </w:r>
          </w:p>
        </w:tc>
      </w:tr>
      <w:tr w:rsidR="00D86983" w:rsidRPr="00D305CC" w:rsidTr="00424F10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Внедрение SCADA, АСКУЭ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2 309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2 858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5 167</w:t>
            </w:r>
          </w:p>
        </w:tc>
      </w:tr>
      <w:tr w:rsidR="00D86983" w:rsidRPr="00D305CC" w:rsidTr="00424F10">
        <w:trPr>
          <w:trHeight w:val="363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Прочие затраты на ремонт производственных активов и прочих основных средств, непосредственно участвующих в процессе производственной деятельности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195</w:t>
            </w:r>
          </w:p>
        </w:tc>
      </w:tr>
      <w:tr w:rsidR="00D86983" w:rsidRPr="00D305CC" w:rsidTr="00424F10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05C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Приобретение ОС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678</w:t>
            </w:r>
          </w:p>
        </w:tc>
      </w:tr>
      <w:tr w:rsidR="00D86983" w:rsidRPr="00D305CC" w:rsidTr="00424F10">
        <w:trPr>
          <w:trHeight w:val="278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11 833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11 715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305CC" w:rsidRDefault="00D86983" w:rsidP="00424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305C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23 548</w:t>
            </w:r>
          </w:p>
        </w:tc>
      </w:tr>
    </w:tbl>
    <w:p w:rsidR="00D86983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</w:p>
    <w:p w:rsidR="00D86983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  <w:r w:rsidRPr="004B29FF">
        <w:rPr>
          <w:color w:val="000000"/>
          <w:sz w:val="16"/>
          <w:szCs w:val="16"/>
          <w:lang w:eastAsia="en-US"/>
        </w:rPr>
        <w:t>В рамках реализации Инвестиционной программы на 201</w:t>
      </w:r>
      <w:r>
        <w:rPr>
          <w:color w:val="000000"/>
          <w:sz w:val="16"/>
          <w:szCs w:val="16"/>
          <w:lang w:eastAsia="en-US"/>
        </w:rPr>
        <w:t>9</w:t>
      </w:r>
      <w:r w:rsidRPr="004B29FF">
        <w:rPr>
          <w:color w:val="000000"/>
          <w:sz w:val="16"/>
          <w:szCs w:val="16"/>
          <w:lang w:eastAsia="en-US"/>
        </w:rPr>
        <w:t>-2020 годы предусмотрено: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Продолжение производства работ по реконструкции сетей 0,4кВ с переводом на СИП;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Начало производства работ по реконструкции РП и ТП в зоне ПС 3А (168А) и ПС 6А;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Начало производства работ по реконструкции ПС-220/110/10кВ №7 АХБК</w:t>
      </w:r>
      <w:r>
        <w:rPr>
          <w:rFonts w:ascii="Times New Roman" w:eastAsia="Calibri" w:hAnsi="Times New Roman" w:cs="Times New Roman"/>
          <w:bCs/>
          <w:sz w:val="16"/>
          <w:szCs w:val="16"/>
        </w:rPr>
        <w:t>;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Продолжение работ по внедрению АСКУЭ</w:t>
      </w:r>
      <w:r>
        <w:rPr>
          <w:rFonts w:ascii="Times New Roman" w:eastAsia="Calibri" w:hAnsi="Times New Roman" w:cs="Times New Roman"/>
          <w:bCs/>
          <w:sz w:val="16"/>
          <w:szCs w:val="16"/>
        </w:rPr>
        <w:t>;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Продолжение работ по переводу существующих сетей 6кВ ПС-22А, 50А, 54А, 100А на напряжение 10кВ от ЛЭП-10кВ ПС-150А «</w:t>
      </w:r>
      <w:proofErr w:type="spell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Алмалы</w:t>
      </w:r>
      <w:proofErr w:type="spell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» и от вновь построенных ПС «</w:t>
      </w:r>
      <w:proofErr w:type="spell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Медеу</w:t>
      </w:r>
      <w:proofErr w:type="spell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» и «</w:t>
      </w:r>
      <w:proofErr w:type="spell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Шымбулак</w:t>
      </w:r>
      <w:proofErr w:type="spell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»;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 xml:space="preserve">Продолжение работ по переводу части нагрузок с существующих ПС-5А, ПС-17А и ПС-132А на вновь </w:t>
      </w:r>
      <w:proofErr w:type="gram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построенную</w:t>
      </w:r>
      <w:proofErr w:type="gram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 xml:space="preserve"> ПС110/10 «</w:t>
      </w:r>
      <w:proofErr w:type="spell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Отрар</w:t>
      </w:r>
      <w:proofErr w:type="spell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».</w:t>
      </w:r>
    </w:p>
    <w:p w:rsidR="00D86983" w:rsidRPr="009902F2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</w:p>
    <w:p w:rsidR="00D86983" w:rsidRPr="009902F2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  <w:r w:rsidRPr="009902F2">
        <w:rPr>
          <w:color w:val="000000"/>
          <w:sz w:val="16"/>
          <w:szCs w:val="16"/>
          <w:lang w:eastAsia="en-US"/>
        </w:rPr>
        <w:t xml:space="preserve"> В том числе в 2019 году планируется завершение работ по переводу нагрузок с существующих на вновь </w:t>
      </w:r>
      <w:proofErr w:type="gramStart"/>
      <w:r w:rsidRPr="009902F2">
        <w:rPr>
          <w:color w:val="000000"/>
          <w:sz w:val="16"/>
          <w:szCs w:val="16"/>
          <w:lang w:eastAsia="en-US"/>
        </w:rPr>
        <w:t>построенные</w:t>
      </w:r>
      <w:proofErr w:type="gramEnd"/>
      <w:r w:rsidRPr="009902F2">
        <w:rPr>
          <w:color w:val="000000"/>
          <w:sz w:val="16"/>
          <w:szCs w:val="16"/>
          <w:lang w:eastAsia="en-US"/>
        </w:rPr>
        <w:t xml:space="preserve"> ПС-110кВ с переводом сетей 6 на 10кВ:</w:t>
      </w:r>
    </w:p>
    <w:p w:rsidR="00D86983" w:rsidRPr="009902F2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 xml:space="preserve">Перевод нагрузки с ПС№19А на вновь </w:t>
      </w:r>
      <w:proofErr w:type="gram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построенную</w:t>
      </w:r>
      <w:proofErr w:type="gram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 xml:space="preserve"> ПС «</w:t>
      </w:r>
      <w:proofErr w:type="spellStart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Мамыр</w:t>
      </w:r>
      <w:proofErr w:type="spellEnd"/>
      <w:r w:rsidRPr="009902F2">
        <w:rPr>
          <w:rFonts w:ascii="Times New Roman" w:eastAsia="Calibri" w:hAnsi="Times New Roman" w:cs="Times New Roman"/>
          <w:bCs/>
          <w:sz w:val="16"/>
          <w:szCs w:val="16"/>
        </w:rPr>
        <w:t>»;</w:t>
      </w:r>
    </w:p>
    <w:p w:rsidR="00D86983" w:rsidRPr="002D1505" w:rsidRDefault="00D86983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9902F2">
        <w:rPr>
          <w:rFonts w:ascii="Times New Roman" w:eastAsia="Calibri" w:hAnsi="Times New Roman" w:cs="Times New Roman"/>
          <w:bCs/>
          <w:sz w:val="16"/>
          <w:szCs w:val="16"/>
        </w:rPr>
        <w:t>Реконструкция оборудования сетей 6кВ РП-42 и перевод сетей 6кВ РП-42 на повышенное напряжение 10кВ.</w:t>
      </w:r>
    </w:p>
    <w:p w:rsidR="00F748FD" w:rsidRPr="004B29FF" w:rsidRDefault="00F748FD" w:rsidP="003B08EC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08EC" w:rsidRPr="003B08EC" w:rsidRDefault="00F748FD" w:rsidP="003B08EC">
      <w:pPr>
        <w:pStyle w:val="a3"/>
        <w:jc w:val="both"/>
        <w:rPr>
          <w:rFonts w:eastAsia="Calibri"/>
          <w:bCs/>
          <w:sz w:val="16"/>
          <w:szCs w:val="16"/>
        </w:rPr>
      </w:pPr>
      <w:r w:rsidRPr="004B29FF">
        <w:rPr>
          <w:rFonts w:ascii="Times New Roman" w:hAnsi="Times New Roman" w:cs="Times New Roman"/>
          <w:b/>
          <w:sz w:val="16"/>
          <w:szCs w:val="16"/>
        </w:rPr>
        <w:t>6.2</w:t>
      </w:r>
      <w:r w:rsidRPr="003B08EC">
        <w:rPr>
          <w:rFonts w:ascii="Times New Roman" w:hAnsi="Times New Roman" w:cs="Times New Roman"/>
          <w:b/>
          <w:sz w:val="16"/>
          <w:szCs w:val="16"/>
        </w:rPr>
        <w:t>.</w:t>
      </w:r>
      <w:r w:rsidR="004B29FF" w:rsidRPr="003B08E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B08EC">
        <w:rPr>
          <w:b/>
          <w:sz w:val="16"/>
          <w:szCs w:val="16"/>
        </w:rPr>
        <w:t xml:space="preserve"> </w:t>
      </w:r>
      <w:proofErr w:type="gramStart"/>
      <w:r w:rsidR="003B08EC" w:rsidRPr="003B08EC">
        <w:rPr>
          <w:rFonts w:ascii="Times New Roman" w:eastAsia="Calibri" w:hAnsi="Times New Roman" w:cs="Times New Roman"/>
          <w:b/>
          <w:bCs/>
          <w:sz w:val="16"/>
          <w:szCs w:val="16"/>
        </w:rPr>
        <w:t>Изменение уровня тарифов возможно согласно нормативно-правовым актам регулирующих деятельность субъекта естественной монополии, в случаях</w:t>
      </w:r>
      <w:r w:rsidR="003B08EC" w:rsidRPr="003B08EC">
        <w:rPr>
          <w:rFonts w:ascii="Times New Roman" w:eastAsia="Calibri" w:hAnsi="Times New Roman" w:cs="Times New Roman"/>
          <w:bCs/>
          <w:sz w:val="16"/>
          <w:szCs w:val="16"/>
        </w:rPr>
        <w:t>: изменение стоимости стратегических товаров и (или) подлежащих государственному регулированию тарифов (цен) на транспортировку стратегических товаров; объявление чрезвычайной ситуации в соответствии с законодательством Республики Казахстан; изменение ставок налогов и других обязательных платежей в бюджет в соответствии с налоговым законодательством Республики Казахстан;</w:t>
      </w:r>
      <w:proofErr w:type="gramEnd"/>
      <w:r w:rsidR="003B08EC" w:rsidRPr="003B08EC">
        <w:rPr>
          <w:rFonts w:ascii="Times New Roman" w:eastAsia="Calibri" w:hAnsi="Times New Roman" w:cs="Times New Roman"/>
          <w:bCs/>
          <w:sz w:val="16"/>
          <w:szCs w:val="16"/>
        </w:rPr>
        <w:t xml:space="preserve"> изменение утвержденной инвестиционной программы в связи с реализацией государственных программ; увеличение объемов предоставляемых регулируемых услуг; в случае внесения корректировок в инвестиционную программу в сторону ее уменьшения; реализация новой инвестиционной программы, в связи с привлечением заемных средств международных финансовых организаций; сокращения фактических затрат субъекта; получение значительных доходов от иных видов деятельности, осуществляемых субъектами в соответствии с законодательством Республики Казахстан о естественных монополиях.</w:t>
      </w:r>
    </w:p>
    <w:p w:rsidR="003B08EC" w:rsidRPr="003B08EC" w:rsidRDefault="003B08EC" w:rsidP="003B08EC">
      <w:pPr>
        <w:pStyle w:val="a3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proofErr w:type="gram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Во исполнение поручения Президента РК и проводимой работой Правительства РК по снижению тарифов на услуги жилищно-коммунального хозяйства, АО «Алатау Жарык Компаниясы» являясь социально значимой Компанией пересмотрело затраты на предоставление регулируемого вида деятельности в части утвержденной Инвестиционной программы и затрат по Тарифной смете на 2019г. и направило соответствующие заявки в уполномоченный орган на снижение предельного уровня тарифа на 2019г.</w:t>
      </w:r>
      <w:proofErr w:type="gramEnd"/>
      <w:r w:rsidRPr="003B08EC">
        <w:rPr>
          <w:rFonts w:ascii="Times New Roman" w:eastAsia="Calibri" w:hAnsi="Times New Roman" w:cs="Times New Roman"/>
          <w:bCs/>
          <w:sz w:val="16"/>
          <w:szCs w:val="16"/>
        </w:rPr>
        <w:t xml:space="preserve">  В </w:t>
      </w:r>
      <w:proofErr w:type="gram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связи</w:t>
      </w:r>
      <w:proofErr w:type="gramEnd"/>
      <w:r w:rsidRPr="003B08EC">
        <w:rPr>
          <w:rFonts w:ascii="Times New Roman" w:eastAsia="Calibri" w:hAnsi="Times New Roman" w:cs="Times New Roman"/>
          <w:bCs/>
          <w:sz w:val="16"/>
          <w:szCs w:val="16"/>
        </w:rPr>
        <w:t xml:space="preserve"> с чем совместным Приказом Уполномоченного органа от 28.11.2018г. утвержден предельный уровень тарифа АО «Алатау Жарык Компаниясы» на 2019 год в размере 5,63 тенге/</w:t>
      </w:r>
      <w:proofErr w:type="spell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кВтч</w:t>
      </w:r>
      <w:proofErr w:type="spellEnd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 (без НДС), с вводом в действие с 01.01.2019г.</w:t>
      </w:r>
    </w:p>
    <w:p w:rsidR="00F748FD" w:rsidRDefault="00F748FD" w:rsidP="00F748FD">
      <w:pPr>
        <w:pStyle w:val="a3"/>
        <w:rPr>
          <w:rFonts w:ascii="Times New Roman" w:eastAsia="Calibri" w:hAnsi="Times New Roman" w:cs="Times New Roman"/>
          <w:bCs/>
          <w:sz w:val="16"/>
          <w:szCs w:val="16"/>
        </w:rPr>
      </w:pP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на 2019г. – </w:t>
      </w:r>
      <w:r w:rsidR="003B08EC">
        <w:rPr>
          <w:rFonts w:ascii="Times New Roman" w:eastAsia="Calibri" w:hAnsi="Times New Roman" w:cs="Times New Roman"/>
          <w:bCs/>
          <w:sz w:val="16"/>
          <w:szCs w:val="16"/>
        </w:rPr>
        <w:t>5,63</w:t>
      </w: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 тенге/</w:t>
      </w:r>
      <w:proofErr w:type="spell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кВт</w:t>
      </w:r>
      <w:proofErr w:type="gramStart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.ч</w:t>
      </w:r>
      <w:proofErr w:type="spellEnd"/>
      <w:proofErr w:type="gramEnd"/>
      <w:r w:rsidRPr="004B29FF">
        <w:rPr>
          <w:rFonts w:ascii="Times New Roman" w:eastAsia="Calibri" w:hAnsi="Times New Roman" w:cs="Times New Roman"/>
          <w:bCs/>
          <w:sz w:val="16"/>
          <w:szCs w:val="16"/>
        </w:rPr>
        <w:t>.</w:t>
      </w:r>
      <w:r w:rsidR="003B08EC">
        <w:rPr>
          <w:rFonts w:ascii="Times New Roman" w:eastAsia="Calibri" w:hAnsi="Times New Roman" w:cs="Times New Roman"/>
          <w:bCs/>
          <w:sz w:val="16"/>
          <w:szCs w:val="16"/>
        </w:rPr>
        <w:t xml:space="preserve"> (без НДС)</w:t>
      </w:r>
      <w:r w:rsidRPr="004B29FF">
        <w:rPr>
          <w:rFonts w:ascii="Times New Roman" w:eastAsia="Calibri" w:hAnsi="Times New Roman" w:cs="Times New Roman"/>
          <w:bCs/>
          <w:sz w:val="16"/>
          <w:szCs w:val="16"/>
        </w:rPr>
        <w:t xml:space="preserve">; </w:t>
      </w:r>
    </w:p>
    <w:p w:rsidR="003B08EC" w:rsidRPr="004B29FF" w:rsidRDefault="003B08EC" w:rsidP="00F748FD">
      <w:pPr>
        <w:pStyle w:val="a3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/>
          <w:bCs/>
          <w:sz w:val="16"/>
          <w:szCs w:val="16"/>
        </w:rPr>
        <w:lastRenderedPageBreak/>
        <w:t xml:space="preserve">* </w:t>
      </w:r>
      <w:r w:rsidRPr="003B08EC">
        <w:rPr>
          <w:rFonts w:ascii="Times New Roman" w:eastAsia="Calibri" w:hAnsi="Times New Roman" w:cs="Times New Roman"/>
          <w:bCs/>
          <w:sz w:val="16"/>
          <w:szCs w:val="16"/>
        </w:rPr>
        <w:t>Приказом Уполномоченного органа с учетом компенсирующего тарифа, утвержденный тариф на 2019 год был пересмотрен и утвержден в размере - 5,34 тенге/</w:t>
      </w:r>
      <w:proofErr w:type="spell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кВт</w:t>
      </w:r>
      <w:proofErr w:type="gramStart"/>
      <w:r w:rsidRPr="003B08EC">
        <w:rPr>
          <w:rFonts w:ascii="Times New Roman" w:eastAsia="Calibri" w:hAnsi="Times New Roman" w:cs="Times New Roman"/>
          <w:bCs/>
          <w:sz w:val="16"/>
          <w:szCs w:val="16"/>
        </w:rPr>
        <w:t>.ч</w:t>
      </w:r>
      <w:proofErr w:type="spellEnd"/>
      <w:proofErr w:type="gramEnd"/>
      <w:r w:rsidRPr="003B08EC">
        <w:rPr>
          <w:rFonts w:ascii="Times New Roman" w:eastAsia="Calibri" w:hAnsi="Times New Roman" w:cs="Times New Roman"/>
          <w:bCs/>
          <w:sz w:val="16"/>
          <w:szCs w:val="16"/>
        </w:rPr>
        <w:t xml:space="preserve">., с вводом в действие с 01.01.2019г., со сроком действия 7 месяцев. </w:t>
      </w:r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Соответственно тариф с 01.01.2019г. по 31.07.2019г. – 5,34 тенге/</w:t>
      </w:r>
      <w:proofErr w:type="spellStart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кВт</w:t>
      </w:r>
      <w:proofErr w:type="gramStart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.ч</w:t>
      </w:r>
      <w:proofErr w:type="spellEnd"/>
      <w:proofErr w:type="gramEnd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 xml:space="preserve"> (без НДС), с 01.08.2019 по 31.12.2019г. – 5,63 тенге/</w:t>
      </w:r>
      <w:proofErr w:type="spellStart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кВт.ч</w:t>
      </w:r>
      <w:proofErr w:type="spellEnd"/>
      <w:r w:rsidRPr="003B08EC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 xml:space="preserve"> без НДС)</w:t>
      </w:r>
    </w:p>
    <w:p w:rsidR="00F748FD" w:rsidRPr="004B29FF" w:rsidRDefault="00F748FD" w:rsidP="00F748FD">
      <w:pPr>
        <w:pStyle w:val="a3"/>
        <w:rPr>
          <w:sz w:val="16"/>
          <w:szCs w:val="16"/>
        </w:rPr>
      </w:pPr>
    </w:p>
    <w:sectPr w:rsidR="00F748FD" w:rsidRPr="004B29FF" w:rsidSect="007B7E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F56"/>
    <w:multiLevelType w:val="hybridMultilevel"/>
    <w:tmpl w:val="4B0450FE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09A40453"/>
    <w:multiLevelType w:val="hybridMultilevel"/>
    <w:tmpl w:val="0F5A521C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523108"/>
    <w:multiLevelType w:val="hybridMultilevel"/>
    <w:tmpl w:val="965CB7B0"/>
    <w:lvl w:ilvl="0" w:tplc="041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57A"/>
    <w:multiLevelType w:val="hybridMultilevel"/>
    <w:tmpl w:val="B386C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665545"/>
    <w:multiLevelType w:val="hybridMultilevel"/>
    <w:tmpl w:val="0A36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E17D9"/>
    <w:multiLevelType w:val="hybridMultilevel"/>
    <w:tmpl w:val="4FAE2D00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170635"/>
    <w:multiLevelType w:val="hybridMultilevel"/>
    <w:tmpl w:val="B7D4F2AE"/>
    <w:lvl w:ilvl="0" w:tplc="ADD2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AE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E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D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1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4C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C2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89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6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1A0C3B"/>
    <w:multiLevelType w:val="multilevel"/>
    <w:tmpl w:val="1D209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5516697"/>
    <w:multiLevelType w:val="hybridMultilevel"/>
    <w:tmpl w:val="F3F25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DF31C9"/>
    <w:multiLevelType w:val="hybridMultilevel"/>
    <w:tmpl w:val="62EC83BE"/>
    <w:lvl w:ilvl="0" w:tplc="8D661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E9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21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4C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EF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8D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6D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8F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A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EE"/>
    <w:rsid w:val="00025FB9"/>
    <w:rsid w:val="00040AAA"/>
    <w:rsid w:val="000D31A6"/>
    <w:rsid w:val="000F1193"/>
    <w:rsid w:val="00152574"/>
    <w:rsid w:val="0017599E"/>
    <w:rsid w:val="00197577"/>
    <w:rsid w:val="003337E9"/>
    <w:rsid w:val="003B08EC"/>
    <w:rsid w:val="004818FF"/>
    <w:rsid w:val="004B29FF"/>
    <w:rsid w:val="004D4A07"/>
    <w:rsid w:val="00505B49"/>
    <w:rsid w:val="00535972"/>
    <w:rsid w:val="00640EE8"/>
    <w:rsid w:val="00665D50"/>
    <w:rsid w:val="00676C15"/>
    <w:rsid w:val="007B7EEE"/>
    <w:rsid w:val="009824B4"/>
    <w:rsid w:val="00A557B2"/>
    <w:rsid w:val="00A614D3"/>
    <w:rsid w:val="00AA3149"/>
    <w:rsid w:val="00CB2904"/>
    <w:rsid w:val="00D70C8E"/>
    <w:rsid w:val="00D8575A"/>
    <w:rsid w:val="00D86983"/>
    <w:rsid w:val="00E61B1C"/>
    <w:rsid w:val="00F748FD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B7E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B7EE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7B7E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EEE"/>
  </w:style>
  <w:style w:type="paragraph" w:styleId="a5">
    <w:name w:val="Normal (Web)"/>
    <w:basedOn w:val="a"/>
    <w:uiPriority w:val="99"/>
    <w:unhideWhenUsed/>
    <w:rsid w:val="00F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75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B7E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B7EE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7B7E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EEE"/>
  </w:style>
  <w:style w:type="paragraph" w:styleId="a5">
    <w:name w:val="Normal (Web)"/>
    <w:basedOn w:val="a"/>
    <w:uiPriority w:val="99"/>
    <w:unhideWhenUsed/>
    <w:rsid w:val="00F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75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3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hk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zhk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hk.kz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hk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zh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Айнур</dc:creator>
  <cp:lastModifiedBy>Сарсенова Лейла</cp:lastModifiedBy>
  <cp:revision>4</cp:revision>
  <cp:lastPrinted>2019-03-05T08:20:00Z</cp:lastPrinted>
  <dcterms:created xsi:type="dcterms:W3CDTF">2019-03-05T08:20:00Z</dcterms:created>
  <dcterms:modified xsi:type="dcterms:W3CDTF">2019-03-05T08:46:00Z</dcterms:modified>
</cp:coreProperties>
</file>